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4B3" w:rsidRPr="000A6F97" w:rsidRDefault="004704B3" w:rsidP="004704B3">
      <w:pPr>
        <w:jc w:val="center"/>
        <w:rPr>
          <w:rFonts w:ascii="Earwig Factory" w:hAnsi="Earwig Factory"/>
          <w:sz w:val="110"/>
          <w:szCs w:val="110"/>
        </w:rPr>
      </w:pPr>
      <w:r w:rsidRPr="000A6F97">
        <w:rPr>
          <w:rFonts w:ascii="Earwig Factory" w:hAnsi="Earwig Factory"/>
          <w:color w:val="FF0000"/>
          <w:sz w:val="110"/>
          <w:szCs w:val="110"/>
        </w:rPr>
        <w:t>T</w:t>
      </w:r>
      <w:r w:rsidRPr="000A6F97">
        <w:rPr>
          <w:rFonts w:ascii="Earwig Factory" w:hAnsi="Earwig Factory"/>
          <w:color w:val="00B0F0"/>
          <w:sz w:val="110"/>
          <w:szCs w:val="110"/>
        </w:rPr>
        <w:t>e</w:t>
      </w:r>
      <w:r w:rsidRPr="000A6F97">
        <w:rPr>
          <w:rFonts w:ascii="Earwig Factory" w:hAnsi="Earwig Factory"/>
          <w:color w:val="92D050"/>
          <w:sz w:val="110"/>
          <w:szCs w:val="110"/>
        </w:rPr>
        <w:t>a</w:t>
      </w:r>
      <w:r w:rsidRPr="000A6F97">
        <w:rPr>
          <w:rFonts w:ascii="Earwig Factory" w:hAnsi="Earwig Factory"/>
          <w:color w:val="7030A0"/>
          <w:sz w:val="110"/>
          <w:szCs w:val="110"/>
        </w:rPr>
        <w:t>c</w:t>
      </w:r>
      <w:r w:rsidRPr="000A6F97">
        <w:rPr>
          <w:rFonts w:ascii="Earwig Factory" w:hAnsi="Earwig Factory"/>
          <w:color w:val="E36C0A" w:themeColor="accent6" w:themeShade="BF"/>
          <w:sz w:val="110"/>
          <w:szCs w:val="110"/>
        </w:rPr>
        <w:t>h</w:t>
      </w:r>
      <w:r w:rsidRPr="000A6F97">
        <w:rPr>
          <w:rFonts w:ascii="Earwig Factory" w:hAnsi="Earwig Factory"/>
          <w:color w:val="FF3300"/>
          <w:sz w:val="110"/>
          <w:szCs w:val="110"/>
        </w:rPr>
        <w:t>i</w:t>
      </w:r>
      <w:r w:rsidRPr="000A6F97">
        <w:rPr>
          <w:rFonts w:ascii="Earwig Factory" w:hAnsi="Earwig Factory"/>
          <w:color w:val="9BBB59" w:themeColor="accent3"/>
          <w:sz w:val="110"/>
          <w:szCs w:val="110"/>
        </w:rPr>
        <w:t>n</w:t>
      </w:r>
      <w:r w:rsidRPr="000A6F97">
        <w:rPr>
          <w:rFonts w:ascii="Earwig Factory" w:hAnsi="Earwig Factory"/>
          <w:color w:val="0070C0"/>
          <w:sz w:val="110"/>
          <w:szCs w:val="110"/>
        </w:rPr>
        <w:t>g</w:t>
      </w:r>
      <w:r w:rsidRPr="000A6F97">
        <w:rPr>
          <w:rFonts w:ascii="Earwig Factory" w:hAnsi="Earwig Factory"/>
          <w:sz w:val="110"/>
          <w:szCs w:val="110"/>
        </w:rPr>
        <w:t xml:space="preserve"> </w:t>
      </w:r>
      <w:r w:rsidRPr="000A6F97">
        <w:rPr>
          <w:rFonts w:ascii="Earwig Factory" w:hAnsi="Earwig Factory"/>
          <w:color w:val="E36C0A" w:themeColor="accent6" w:themeShade="BF"/>
          <w:sz w:val="110"/>
          <w:szCs w:val="110"/>
        </w:rPr>
        <w:t>O</w:t>
      </w:r>
      <w:r w:rsidRPr="000A6F97">
        <w:rPr>
          <w:rFonts w:ascii="Earwig Factory" w:hAnsi="Earwig Factory"/>
          <w:color w:val="92D050"/>
          <w:sz w:val="110"/>
          <w:szCs w:val="110"/>
        </w:rPr>
        <w:t>n</w:t>
      </w:r>
      <w:r w:rsidRPr="000A6F97">
        <w:rPr>
          <w:rFonts w:ascii="Earwig Factory" w:hAnsi="Earwig Factory"/>
          <w:color w:val="FF0000"/>
          <w:sz w:val="110"/>
          <w:szCs w:val="110"/>
        </w:rPr>
        <w:t>l</w:t>
      </w:r>
      <w:r w:rsidRPr="000A6F97">
        <w:rPr>
          <w:rFonts w:ascii="Earwig Factory" w:hAnsi="Earwig Factory"/>
          <w:color w:val="00B0F0"/>
          <w:sz w:val="110"/>
          <w:szCs w:val="110"/>
        </w:rPr>
        <w:t>i</w:t>
      </w:r>
      <w:r w:rsidRPr="000A6F97">
        <w:rPr>
          <w:rFonts w:ascii="Earwig Factory" w:hAnsi="Earwig Factory"/>
          <w:color w:val="E36C0A" w:themeColor="accent6" w:themeShade="BF"/>
          <w:sz w:val="110"/>
          <w:szCs w:val="110"/>
        </w:rPr>
        <w:t>n</w:t>
      </w:r>
      <w:r w:rsidRPr="000A6F97">
        <w:rPr>
          <w:rFonts w:ascii="Earwig Factory" w:hAnsi="Earwig Factory"/>
          <w:color w:val="7030A0"/>
          <w:sz w:val="110"/>
          <w:szCs w:val="110"/>
        </w:rPr>
        <w:t>e</w:t>
      </w:r>
      <w:r w:rsidRPr="000A6F97">
        <w:rPr>
          <w:rFonts w:ascii="Earwig Factory" w:hAnsi="Earwig Factory"/>
          <w:color w:val="C00000"/>
          <w:sz w:val="110"/>
          <w:szCs w:val="110"/>
        </w:rPr>
        <w:t>?</w:t>
      </w:r>
    </w:p>
    <w:p w:rsidR="005815D7" w:rsidRPr="004704B3" w:rsidRDefault="004704B3" w:rsidP="004704B3">
      <w:pPr>
        <w:jc w:val="center"/>
        <w:rPr>
          <w:sz w:val="32"/>
        </w:rPr>
      </w:pPr>
      <w:r w:rsidRPr="004704B3">
        <w:rPr>
          <w:sz w:val="32"/>
        </w:rPr>
        <w:t xml:space="preserve">A checklist of important </w:t>
      </w:r>
      <w:r w:rsidR="00CE0323">
        <w:rPr>
          <w:sz w:val="32"/>
        </w:rPr>
        <w:t>reminders</w:t>
      </w:r>
      <w:r w:rsidR="00435B14">
        <w:rPr>
          <w:sz w:val="32"/>
        </w:rPr>
        <w:t xml:space="preserve"> </w:t>
      </w:r>
      <w:r w:rsidR="00AF06A9" w:rsidRPr="00AF06A9">
        <w:rPr>
          <w:b/>
          <w:sz w:val="32"/>
        </w:rPr>
        <w:t>THROUGHOUT</w:t>
      </w:r>
      <w:r w:rsidR="00AF06A9">
        <w:rPr>
          <w:sz w:val="32"/>
        </w:rPr>
        <w:t xml:space="preserve"> the semester</w:t>
      </w:r>
      <w:r w:rsidR="00EA2060">
        <w:rPr>
          <w:b/>
          <w:sz w:val="32"/>
        </w:rPr>
        <w:t xml:space="preserve"> </w:t>
      </w:r>
    </w:p>
    <w:tbl>
      <w:tblPr>
        <w:tblStyle w:val="ColorfulList-Accent4"/>
        <w:tblW w:w="0" w:type="auto"/>
        <w:tblLook w:val="04A0" w:firstRow="1" w:lastRow="0" w:firstColumn="1" w:lastColumn="0" w:noHBand="0" w:noVBand="1"/>
      </w:tblPr>
      <w:tblGrid>
        <w:gridCol w:w="918"/>
        <w:gridCol w:w="8658"/>
      </w:tblGrid>
      <w:tr w:rsidR="00F97084" w:rsidTr="001C14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F97084" w:rsidRDefault="00F97084" w:rsidP="000A6F97">
            <w:pPr>
              <w:jc w:val="center"/>
            </w:pPr>
            <w:r>
              <w:t>Managerial</w:t>
            </w:r>
          </w:p>
        </w:tc>
      </w:tr>
      <w:tr w:rsidR="00CE0323" w:rsidTr="000A6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CE0323" w:rsidRPr="000A6F97" w:rsidRDefault="00CE0323" w:rsidP="000A6F97">
            <w:pPr>
              <w:pStyle w:val="ListParagraph"/>
              <w:numPr>
                <w:ilvl w:val="0"/>
                <w:numId w:val="1"/>
              </w:numPr>
              <w:jc w:val="center"/>
            </w:pPr>
          </w:p>
        </w:tc>
        <w:tc>
          <w:tcPr>
            <w:tcW w:w="8658" w:type="dxa"/>
          </w:tcPr>
          <w:p w:rsidR="00CE0323" w:rsidRDefault="00160B2C" w:rsidP="002D5E36">
            <w:pPr>
              <w:cnfStyle w:val="000000100000" w:firstRow="0" w:lastRow="0" w:firstColumn="0" w:lastColumn="0" w:oddVBand="0" w:evenVBand="0" w:oddHBand="1" w:evenHBand="0" w:firstRowFirstColumn="0" w:firstRowLastColumn="0" w:lastRowFirstColumn="0" w:lastRowLastColumn="0"/>
            </w:pPr>
            <w:r>
              <w:t>Be prompt when updating the grade center and remain consistent</w:t>
            </w:r>
            <w:r w:rsidR="002D5E36">
              <w:t xml:space="preserve">. Check out your personal Instructor Insights within Canvas to see how you compare to your </w:t>
            </w:r>
            <w:r w:rsidR="00E307ED">
              <w:t>colleagues</w:t>
            </w:r>
            <w:bookmarkStart w:id="0" w:name="_GoBack"/>
            <w:bookmarkEnd w:id="0"/>
            <w:r w:rsidR="002D5E36">
              <w:t>.</w:t>
            </w:r>
          </w:p>
        </w:tc>
      </w:tr>
      <w:tr w:rsidR="00CE0323" w:rsidTr="000A6F97">
        <w:tc>
          <w:tcPr>
            <w:cnfStyle w:val="001000000000" w:firstRow="0" w:lastRow="0" w:firstColumn="1" w:lastColumn="0" w:oddVBand="0" w:evenVBand="0" w:oddHBand="0" w:evenHBand="0" w:firstRowFirstColumn="0" w:firstRowLastColumn="0" w:lastRowFirstColumn="0" w:lastRowLastColumn="0"/>
            <w:tcW w:w="918" w:type="dxa"/>
          </w:tcPr>
          <w:p w:rsidR="00CE0323" w:rsidRPr="000A6F97" w:rsidRDefault="00CE0323" w:rsidP="000A6F97">
            <w:pPr>
              <w:pStyle w:val="ListParagraph"/>
              <w:numPr>
                <w:ilvl w:val="0"/>
                <w:numId w:val="1"/>
              </w:numPr>
              <w:jc w:val="center"/>
            </w:pPr>
          </w:p>
        </w:tc>
        <w:tc>
          <w:tcPr>
            <w:tcW w:w="8658" w:type="dxa"/>
          </w:tcPr>
          <w:p w:rsidR="00CE0323" w:rsidRDefault="00160B2C" w:rsidP="004B23C6">
            <w:pPr>
              <w:cnfStyle w:val="000000000000" w:firstRow="0" w:lastRow="0" w:firstColumn="0" w:lastColumn="0" w:oddVBand="0" w:evenVBand="0" w:oddHBand="0" w:evenHBand="0" w:firstRowFirstColumn="0" w:firstRowLastColumn="0" w:lastRowFirstColumn="0" w:lastRowLastColumn="0"/>
            </w:pPr>
            <w:r>
              <w:t>Conduct course according to the schedule with any changes being properly communicated in advance</w:t>
            </w:r>
          </w:p>
        </w:tc>
      </w:tr>
      <w:tr w:rsidR="00160B2C" w:rsidTr="000A6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160B2C" w:rsidRPr="000A6F97" w:rsidRDefault="00160B2C" w:rsidP="000A6F97">
            <w:pPr>
              <w:pStyle w:val="ListParagraph"/>
              <w:numPr>
                <w:ilvl w:val="0"/>
                <w:numId w:val="1"/>
              </w:numPr>
              <w:jc w:val="center"/>
              <w:rPr>
                <w:b w:val="0"/>
                <w:bCs w:val="0"/>
              </w:rPr>
            </w:pPr>
          </w:p>
        </w:tc>
        <w:tc>
          <w:tcPr>
            <w:tcW w:w="8658" w:type="dxa"/>
          </w:tcPr>
          <w:p w:rsidR="00160B2C" w:rsidRDefault="00165D8C" w:rsidP="004B23C6">
            <w:pPr>
              <w:cnfStyle w:val="000000100000" w:firstRow="0" w:lastRow="0" w:firstColumn="0" w:lastColumn="0" w:oddVBand="0" w:evenVBand="0" w:oddHBand="1" w:evenHBand="0" w:firstRowFirstColumn="0" w:firstRowLastColumn="0" w:lastRowFirstColumn="0" w:lastRowLastColumn="0"/>
            </w:pPr>
            <w:r>
              <w:t xml:space="preserve">Remind </w:t>
            </w:r>
            <w:r w:rsidR="00F4728F">
              <w:t>learners</w:t>
            </w:r>
            <w:r>
              <w:t xml:space="preserve"> of upcoming deadlines</w:t>
            </w:r>
          </w:p>
        </w:tc>
      </w:tr>
      <w:tr w:rsidR="00160B2C" w:rsidTr="000A6F97">
        <w:tc>
          <w:tcPr>
            <w:cnfStyle w:val="001000000000" w:firstRow="0" w:lastRow="0" w:firstColumn="1" w:lastColumn="0" w:oddVBand="0" w:evenVBand="0" w:oddHBand="0" w:evenHBand="0" w:firstRowFirstColumn="0" w:firstRowLastColumn="0" w:lastRowFirstColumn="0" w:lastRowLastColumn="0"/>
            <w:tcW w:w="918" w:type="dxa"/>
          </w:tcPr>
          <w:p w:rsidR="00160B2C" w:rsidRPr="000A6F97" w:rsidRDefault="00160B2C" w:rsidP="000A6F97">
            <w:pPr>
              <w:pStyle w:val="ListParagraph"/>
              <w:numPr>
                <w:ilvl w:val="0"/>
                <w:numId w:val="1"/>
              </w:numPr>
              <w:jc w:val="center"/>
              <w:rPr>
                <w:b w:val="0"/>
                <w:bCs w:val="0"/>
              </w:rPr>
            </w:pPr>
          </w:p>
        </w:tc>
        <w:tc>
          <w:tcPr>
            <w:tcW w:w="8658" w:type="dxa"/>
          </w:tcPr>
          <w:p w:rsidR="00160B2C" w:rsidRDefault="00165D8C" w:rsidP="004B23C6">
            <w:pPr>
              <w:cnfStyle w:val="000000000000" w:firstRow="0" w:lastRow="0" w:firstColumn="0" w:lastColumn="0" w:oddVBand="0" w:evenVBand="0" w:oddHBand="0" w:evenHBand="0" w:firstRowFirstColumn="0" w:firstRowLastColumn="0" w:lastRowFirstColumn="0" w:lastRowLastColumn="0"/>
            </w:pPr>
            <w:r>
              <w:t xml:space="preserve">Monitor attendance and reach out to </w:t>
            </w:r>
            <w:r w:rsidR="00F4728F">
              <w:t>learners</w:t>
            </w:r>
            <w:r>
              <w:t xml:space="preserve"> who are lagging behind</w:t>
            </w:r>
          </w:p>
        </w:tc>
      </w:tr>
      <w:tr w:rsidR="00160B2C" w:rsidTr="000A6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160B2C" w:rsidRPr="000A6F97" w:rsidRDefault="00160B2C" w:rsidP="000A6F97">
            <w:pPr>
              <w:pStyle w:val="ListParagraph"/>
              <w:numPr>
                <w:ilvl w:val="0"/>
                <w:numId w:val="1"/>
              </w:numPr>
              <w:jc w:val="center"/>
              <w:rPr>
                <w:b w:val="0"/>
                <w:bCs w:val="0"/>
              </w:rPr>
            </w:pPr>
          </w:p>
        </w:tc>
        <w:tc>
          <w:tcPr>
            <w:tcW w:w="8658" w:type="dxa"/>
          </w:tcPr>
          <w:p w:rsidR="00160B2C" w:rsidRDefault="00165D8C" w:rsidP="004B23C6">
            <w:pPr>
              <w:cnfStyle w:val="000000100000" w:firstRow="0" w:lastRow="0" w:firstColumn="0" w:lastColumn="0" w:oddVBand="0" w:evenVBand="0" w:oddHBand="1" w:evenHBand="0" w:firstRowFirstColumn="0" w:firstRowLastColumn="0" w:lastRowFirstColumn="0" w:lastRowLastColumn="0"/>
            </w:pPr>
            <w:r>
              <w:t>Open and close course materials &amp; activities to optimize learning and avoid confusion when possible</w:t>
            </w:r>
          </w:p>
        </w:tc>
      </w:tr>
      <w:tr w:rsidR="00160B2C" w:rsidTr="000A6F97">
        <w:tc>
          <w:tcPr>
            <w:cnfStyle w:val="001000000000" w:firstRow="0" w:lastRow="0" w:firstColumn="1" w:lastColumn="0" w:oddVBand="0" w:evenVBand="0" w:oddHBand="0" w:evenHBand="0" w:firstRowFirstColumn="0" w:firstRowLastColumn="0" w:lastRowFirstColumn="0" w:lastRowLastColumn="0"/>
            <w:tcW w:w="918" w:type="dxa"/>
          </w:tcPr>
          <w:p w:rsidR="00160B2C" w:rsidRPr="000A6F97" w:rsidRDefault="00160B2C" w:rsidP="000A6F97">
            <w:pPr>
              <w:pStyle w:val="ListParagraph"/>
              <w:numPr>
                <w:ilvl w:val="0"/>
                <w:numId w:val="1"/>
              </w:numPr>
              <w:jc w:val="center"/>
              <w:rPr>
                <w:b w:val="0"/>
                <w:bCs w:val="0"/>
              </w:rPr>
            </w:pPr>
          </w:p>
        </w:tc>
        <w:tc>
          <w:tcPr>
            <w:tcW w:w="8658" w:type="dxa"/>
          </w:tcPr>
          <w:p w:rsidR="00160B2C" w:rsidRDefault="00165D8C" w:rsidP="004B23C6">
            <w:pPr>
              <w:cnfStyle w:val="000000000000" w:firstRow="0" w:lastRow="0" w:firstColumn="0" w:lastColumn="0" w:oddVBand="0" w:evenVBand="0" w:oddHBand="0" w:evenHBand="0" w:firstRowFirstColumn="0" w:firstRowLastColumn="0" w:lastRowFirstColumn="0" w:lastRowLastColumn="0"/>
            </w:pPr>
            <w:r>
              <w:t>Take notes on things that are/are not working for future semesters</w:t>
            </w:r>
          </w:p>
        </w:tc>
      </w:tr>
    </w:tbl>
    <w:p w:rsidR="000A6F97" w:rsidRDefault="000A6F97" w:rsidP="004704B3">
      <w:pPr>
        <w:jc w:val="center"/>
      </w:pPr>
    </w:p>
    <w:tbl>
      <w:tblPr>
        <w:tblStyle w:val="ColorfulList-Accent3"/>
        <w:tblW w:w="0" w:type="auto"/>
        <w:tblLook w:val="04A0" w:firstRow="1" w:lastRow="0" w:firstColumn="1" w:lastColumn="0" w:noHBand="0" w:noVBand="1"/>
      </w:tblPr>
      <w:tblGrid>
        <w:gridCol w:w="918"/>
        <w:gridCol w:w="8658"/>
      </w:tblGrid>
      <w:tr w:rsidR="004B23C6" w:rsidTr="004B23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4B23C6" w:rsidRDefault="004B23C6" w:rsidP="00441311">
            <w:pPr>
              <w:jc w:val="center"/>
            </w:pPr>
            <w:r>
              <w:t>Social</w:t>
            </w:r>
          </w:p>
        </w:tc>
      </w:tr>
      <w:tr w:rsidR="004B23C6" w:rsidTr="004B2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4B23C6" w:rsidRPr="000A6F97" w:rsidRDefault="004B23C6" w:rsidP="00441311">
            <w:pPr>
              <w:pStyle w:val="ListParagraph"/>
              <w:numPr>
                <w:ilvl w:val="0"/>
                <w:numId w:val="1"/>
              </w:numPr>
              <w:jc w:val="center"/>
            </w:pPr>
          </w:p>
        </w:tc>
        <w:tc>
          <w:tcPr>
            <w:tcW w:w="8658" w:type="dxa"/>
          </w:tcPr>
          <w:p w:rsidR="004B23C6" w:rsidRDefault="00165D8C" w:rsidP="00441311">
            <w:pPr>
              <w:cnfStyle w:val="000000100000" w:firstRow="0" w:lastRow="0" w:firstColumn="0" w:lastColumn="0" w:oddVBand="0" w:evenVBand="0" w:oddHBand="1" w:evenHBand="0" w:firstRowFirstColumn="0" w:firstRowLastColumn="0" w:lastRowFirstColumn="0" w:lastRowLastColumn="0"/>
            </w:pPr>
            <w:r>
              <w:t>Provide input or summaries to full-class discussions to offer feedback or encouragement</w:t>
            </w:r>
          </w:p>
        </w:tc>
      </w:tr>
      <w:tr w:rsidR="004B23C6" w:rsidTr="004B23C6">
        <w:tc>
          <w:tcPr>
            <w:cnfStyle w:val="001000000000" w:firstRow="0" w:lastRow="0" w:firstColumn="1" w:lastColumn="0" w:oddVBand="0" w:evenVBand="0" w:oddHBand="0" w:evenHBand="0" w:firstRowFirstColumn="0" w:firstRowLastColumn="0" w:lastRowFirstColumn="0" w:lastRowLastColumn="0"/>
            <w:tcW w:w="918" w:type="dxa"/>
          </w:tcPr>
          <w:p w:rsidR="004B23C6" w:rsidRPr="000A6F97" w:rsidRDefault="004B23C6" w:rsidP="00441311">
            <w:pPr>
              <w:pStyle w:val="ListParagraph"/>
              <w:numPr>
                <w:ilvl w:val="0"/>
                <w:numId w:val="1"/>
              </w:numPr>
              <w:jc w:val="center"/>
            </w:pPr>
          </w:p>
        </w:tc>
        <w:tc>
          <w:tcPr>
            <w:tcW w:w="8658" w:type="dxa"/>
          </w:tcPr>
          <w:p w:rsidR="004B23C6" w:rsidRDefault="00165D8C" w:rsidP="00441311">
            <w:pPr>
              <w:cnfStyle w:val="000000000000" w:firstRow="0" w:lastRow="0" w:firstColumn="0" w:lastColumn="0" w:oddVBand="0" w:evenVBand="0" w:oddHBand="0" w:evenHBand="0" w:firstRowFirstColumn="0" w:firstRowLastColumn="0" w:lastRowFirstColumn="0" w:lastRowLastColumn="0"/>
            </w:pPr>
            <w:r>
              <w:t>Use announcement area to keep current on real-world issues that may be relevant to your course or offer words of encouragement at mid-point or before/after large projects.</w:t>
            </w:r>
          </w:p>
        </w:tc>
      </w:tr>
      <w:tr w:rsidR="004B23C6" w:rsidTr="004B2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4B23C6" w:rsidRPr="000A6F97" w:rsidRDefault="004B23C6" w:rsidP="00441311">
            <w:pPr>
              <w:pStyle w:val="ListParagraph"/>
              <w:numPr>
                <w:ilvl w:val="0"/>
                <w:numId w:val="1"/>
              </w:numPr>
              <w:jc w:val="center"/>
              <w:rPr>
                <w:b w:val="0"/>
                <w:bCs w:val="0"/>
              </w:rPr>
            </w:pPr>
          </w:p>
        </w:tc>
        <w:tc>
          <w:tcPr>
            <w:tcW w:w="8658" w:type="dxa"/>
          </w:tcPr>
          <w:p w:rsidR="004B23C6" w:rsidRDefault="00165D8C" w:rsidP="00441311">
            <w:pPr>
              <w:cnfStyle w:val="000000100000" w:firstRow="0" w:lastRow="0" w:firstColumn="0" w:lastColumn="0" w:oddVBand="0" w:evenVBand="0" w:oddHBand="1" w:evenHBand="0" w:firstRowFirstColumn="0" w:firstRowLastColumn="0" w:lastRowFirstColumn="0" w:lastRowLastColumn="0"/>
            </w:pPr>
            <w:r>
              <w:t xml:space="preserve">Address </w:t>
            </w:r>
            <w:r w:rsidR="00F4728F">
              <w:t>learners</w:t>
            </w:r>
            <w:r>
              <w:t xml:space="preserve"> individually with inappropriate posts or behaviors</w:t>
            </w:r>
          </w:p>
        </w:tc>
      </w:tr>
    </w:tbl>
    <w:p w:rsidR="004B23C6" w:rsidRDefault="004B23C6" w:rsidP="004B23C6"/>
    <w:tbl>
      <w:tblPr>
        <w:tblStyle w:val="ColorfulList-Accent5"/>
        <w:tblW w:w="0" w:type="auto"/>
        <w:tblLook w:val="04A0" w:firstRow="1" w:lastRow="0" w:firstColumn="1" w:lastColumn="0" w:noHBand="0" w:noVBand="1"/>
      </w:tblPr>
      <w:tblGrid>
        <w:gridCol w:w="918"/>
        <w:gridCol w:w="8658"/>
      </w:tblGrid>
      <w:tr w:rsidR="00F97084" w:rsidTr="00866B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F97084" w:rsidRDefault="00F97084" w:rsidP="00F97084">
            <w:pPr>
              <w:jc w:val="center"/>
            </w:pPr>
            <w:r>
              <w:t>Pedagogical</w:t>
            </w:r>
          </w:p>
        </w:tc>
      </w:tr>
      <w:tr w:rsidR="00F97084" w:rsidTr="00F97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F97084" w:rsidRPr="000A6F97" w:rsidRDefault="00F97084" w:rsidP="00441311">
            <w:pPr>
              <w:pStyle w:val="ListParagraph"/>
              <w:numPr>
                <w:ilvl w:val="0"/>
                <w:numId w:val="1"/>
              </w:numPr>
              <w:jc w:val="center"/>
            </w:pPr>
          </w:p>
        </w:tc>
        <w:tc>
          <w:tcPr>
            <w:tcW w:w="8658" w:type="dxa"/>
          </w:tcPr>
          <w:p w:rsidR="00CD2E68" w:rsidRDefault="00165D8C" w:rsidP="00CE0323">
            <w:pPr>
              <w:cnfStyle w:val="000000100000" w:firstRow="0" w:lastRow="0" w:firstColumn="0" w:lastColumn="0" w:oddVBand="0" w:evenVBand="0" w:oddHBand="1" w:evenHBand="0" w:firstRowFirstColumn="0" w:firstRowLastColumn="0" w:lastRowFirstColumn="0" w:lastRowLastColumn="0"/>
            </w:pPr>
            <w:r>
              <w:t xml:space="preserve">Provide continual support and clear directions for </w:t>
            </w:r>
            <w:r w:rsidR="00F4728F">
              <w:t>learners</w:t>
            </w:r>
            <w:r>
              <w:t xml:space="preserve">.  </w:t>
            </w:r>
          </w:p>
        </w:tc>
      </w:tr>
      <w:tr w:rsidR="00F97084" w:rsidTr="00F97084">
        <w:tc>
          <w:tcPr>
            <w:cnfStyle w:val="001000000000" w:firstRow="0" w:lastRow="0" w:firstColumn="1" w:lastColumn="0" w:oddVBand="0" w:evenVBand="0" w:oddHBand="0" w:evenHBand="0" w:firstRowFirstColumn="0" w:firstRowLastColumn="0" w:lastRowFirstColumn="0" w:lastRowLastColumn="0"/>
            <w:tcW w:w="918" w:type="dxa"/>
          </w:tcPr>
          <w:p w:rsidR="00F97084" w:rsidRPr="000A6F97" w:rsidRDefault="00F97084" w:rsidP="00441311">
            <w:pPr>
              <w:pStyle w:val="ListParagraph"/>
              <w:numPr>
                <w:ilvl w:val="0"/>
                <w:numId w:val="1"/>
              </w:numPr>
              <w:jc w:val="center"/>
            </w:pPr>
          </w:p>
        </w:tc>
        <w:tc>
          <w:tcPr>
            <w:tcW w:w="8658" w:type="dxa"/>
          </w:tcPr>
          <w:p w:rsidR="00F97084" w:rsidRDefault="00165D8C" w:rsidP="00F4728F">
            <w:pPr>
              <w:cnfStyle w:val="000000000000" w:firstRow="0" w:lastRow="0" w:firstColumn="0" w:lastColumn="0" w:oddVBand="0" w:evenVBand="0" w:oddHBand="0" w:evenHBand="0" w:firstRowFirstColumn="0" w:firstRowLastColumn="0" w:lastRowFirstColumn="0" w:lastRowLastColumn="0"/>
            </w:pPr>
            <w:r>
              <w:t xml:space="preserve">Provide an additional Jing video or YouTube  video if there is a muddy point that </w:t>
            </w:r>
            <w:r w:rsidR="00F4728F">
              <w:t xml:space="preserve">learners </w:t>
            </w:r>
            <w:r>
              <w:t>need further clarification on</w:t>
            </w:r>
          </w:p>
        </w:tc>
      </w:tr>
      <w:tr w:rsidR="00F97084" w:rsidTr="00F97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F97084" w:rsidRPr="000A6F97" w:rsidRDefault="00F97084" w:rsidP="00441311">
            <w:pPr>
              <w:pStyle w:val="ListParagraph"/>
              <w:numPr>
                <w:ilvl w:val="0"/>
                <w:numId w:val="1"/>
              </w:numPr>
              <w:jc w:val="center"/>
            </w:pPr>
          </w:p>
        </w:tc>
        <w:tc>
          <w:tcPr>
            <w:tcW w:w="8658" w:type="dxa"/>
          </w:tcPr>
          <w:p w:rsidR="00F97084" w:rsidRDefault="00F4728F" w:rsidP="00441311">
            <w:pPr>
              <w:cnfStyle w:val="000000100000" w:firstRow="0" w:lastRow="0" w:firstColumn="0" w:lastColumn="0" w:oddVBand="0" w:evenVBand="0" w:oddHBand="1" w:evenHBand="0" w:firstRowFirstColumn="0" w:firstRowLastColumn="0" w:lastRowFirstColumn="0" w:lastRowLastColumn="0"/>
            </w:pPr>
            <w:r>
              <w:t>Provide mid-semester evaluation of course</w:t>
            </w:r>
          </w:p>
        </w:tc>
      </w:tr>
      <w:tr w:rsidR="00F97084" w:rsidTr="00F97084">
        <w:tc>
          <w:tcPr>
            <w:cnfStyle w:val="001000000000" w:firstRow="0" w:lastRow="0" w:firstColumn="1" w:lastColumn="0" w:oddVBand="0" w:evenVBand="0" w:oddHBand="0" w:evenHBand="0" w:firstRowFirstColumn="0" w:firstRowLastColumn="0" w:lastRowFirstColumn="0" w:lastRowLastColumn="0"/>
            <w:tcW w:w="918" w:type="dxa"/>
          </w:tcPr>
          <w:p w:rsidR="00F97084" w:rsidRPr="000A6F97" w:rsidRDefault="00F97084" w:rsidP="00441311">
            <w:pPr>
              <w:pStyle w:val="ListParagraph"/>
              <w:numPr>
                <w:ilvl w:val="0"/>
                <w:numId w:val="1"/>
              </w:numPr>
              <w:jc w:val="center"/>
            </w:pPr>
          </w:p>
        </w:tc>
        <w:tc>
          <w:tcPr>
            <w:tcW w:w="8658" w:type="dxa"/>
          </w:tcPr>
          <w:p w:rsidR="00F97084" w:rsidRDefault="00F4728F" w:rsidP="004B23C6">
            <w:pPr>
              <w:cnfStyle w:val="000000000000" w:firstRow="0" w:lastRow="0" w:firstColumn="0" w:lastColumn="0" w:oddVBand="0" w:evenVBand="0" w:oddHBand="0" w:evenHBand="0" w:firstRowFirstColumn="0" w:firstRowLastColumn="0" w:lastRowFirstColumn="0" w:lastRowLastColumn="0"/>
            </w:pPr>
            <w:r>
              <w:t>Use scoring guides and rubrics whenever possible for clearer expectations of assessments</w:t>
            </w:r>
          </w:p>
        </w:tc>
      </w:tr>
    </w:tbl>
    <w:p w:rsidR="004704B3" w:rsidRDefault="004704B3" w:rsidP="000A6F97"/>
    <w:tbl>
      <w:tblPr>
        <w:tblStyle w:val="ColorfulList-Accent6"/>
        <w:tblW w:w="0" w:type="auto"/>
        <w:tblLook w:val="04A0" w:firstRow="1" w:lastRow="0" w:firstColumn="1" w:lastColumn="0" w:noHBand="0" w:noVBand="1"/>
      </w:tblPr>
      <w:tblGrid>
        <w:gridCol w:w="918"/>
        <w:gridCol w:w="8658"/>
      </w:tblGrid>
      <w:tr w:rsidR="00F97084" w:rsidTr="00F97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F97084" w:rsidRDefault="00CD2E68" w:rsidP="00441311">
            <w:pPr>
              <w:jc w:val="center"/>
            </w:pPr>
            <w:r>
              <w:t>Technical</w:t>
            </w:r>
          </w:p>
        </w:tc>
      </w:tr>
      <w:tr w:rsidR="00F97084" w:rsidTr="00F97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F97084" w:rsidRPr="000A6F97" w:rsidRDefault="00F97084" w:rsidP="00441311">
            <w:pPr>
              <w:pStyle w:val="ListParagraph"/>
              <w:numPr>
                <w:ilvl w:val="0"/>
                <w:numId w:val="1"/>
              </w:numPr>
              <w:jc w:val="center"/>
            </w:pPr>
          </w:p>
        </w:tc>
        <w:tc>
          <w:tcPr>
            <w:tcW w:w="8658" w:type="dxa"/>
          </w:tcPr>
          <w:p w:rsidR="00F97084" w:rsidRDefault="00F4728F" w:rsidP="00F4728F">
            <w:pPr>
              <w:cnfStyle w:val="000000100000" w:firstRow="0" w:lastRow="0" w:firstColumn="0" w:lastColumn="0" w:oddVBand="0" w:evenVBand="0" w:oddHBand="1" w:evenHBand="0" w:firstRowFirstColumn="0" w:firstRowLastColumn="0" w:lastRowFirstColumn="0" w:lastRowLastColumn="0"/>
            </w:pPr>
            <w:r>
              <w:t>Make reasonable accommodations due to technical difficulties beyond the learners’ control</w:t>
            </w:r>
          </w:p>
        </w:tc>
      </w:tr>
      <w:tr w:rsidR="00F4728F" w:rsidTr="00F97084">
        <w:tc>
          <w:tcPr>
            <w:cnfStyle w:val="001000000000" w:firstRow="0" w:lastRow="0" w:firstColumn="1" w:lastColumn="0" w:oddVBand="0" w:evenVBand="0" w:oddHBand="0" w:evenHBand="0" w:firstRowFirstColumn="0" w:firstRowLastColumn="0" w:lastRowFirstColumn="0" w:lastRowLastColumn="0"/>
            <w:tcW w:w="918" w:type="dxa"/>
          </w:tcPr>
          <w:p w:rsidR="00F4728F" w:rsidRPr="000A6F97" w:rsidRDefault="00F4728F" w:rsidP="00441311">
            <w:pPr>
              <w:pStyle w:val="ListParagraph"/>
              <w:numPr>
                <w:ilvl w:val="0"/>
                <w:numId w:val="1"/>
              </w:numPr>
              <w:jc w:val="center"/>
              <w:rPr>
                <w:b w:val="0"/>
                <w:bCs w:val="0"/>
              </w:rPr>
            </w:pPr>
          </w:p>
        </w:tc>
        <w:tc>
          <w:tcPr>
            <w:tcW w:w="8658" w:type="dxa"/>
          </w:tcPr>
          <w:p w:rsidR="00F4728F" w:rsidRDefault="00F4728F" w:rsidP="00F4728F">
            <w:pPr>
              <w:cnfStyle w:val="000000000000" w:firstRow="0" w:lastRow="0" w:firstColumn="0" w:lastColumn="0" w:oddVBand="0" w:evenVBand="0" w:oddHBand="0" w:evenHBand="0" w:firstRowFirstColumn="0" w:firstRowLastColumn="0" w:lastRowFirstColumn="0" w:lastRowLastColumn="0"/>
            </w:pPr>
            <w:r>
              <w:t>Model online tools that are expected to be used by the learners</w:t>
            </w:r>
          </w:p>
        </w:tc>
      </w:tr>
      <w:tr w:rsidR="00F4728F" w:rsidTr="00F97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F4728F" w:rsidRPr="000A6F97" w:rsidRDefault="00F4728F" w:rsidP="00441311">
            <w:pPr>
              <w:pStyle w:val="ListParagraph"/>
              <w:numPr>
                <w:ilvl w:val="0"/>
                <w:numId w:val="1"/>
              </w:numPr>
              <w:jc w:val="center"/>
              <w:rPr>
                <w:b w:val="0"/>
                <w:bCs w:val="0"/>
              </w:rPr>
            </w:pPr>
          </w:p>
        </w:tc>
        <w:tc>
          <w:tcPr>
            <w:tcW w:w="8658" w:type="dxa"/>
          </w:tcPr>
          <w:p w:rsidR="00F4728F" w:rsidRDefault="00F4728F" w:rsidP="00CD2E68">
            <w:pPr>
              <w:cnfStyle w:val="000000100000" w:firstRow="0" w:lastRow="0" w:firstColumn="0" w:lastColumn="0" w:oddVBand="0" w:evenVBand="0" w:oddHBand="1" w:evenHBand="0" w:firstRowFirstColumn="0" w:firstRowLastColumn="0" w:lastRowFirstColumn="0" w:lastRowLastColumn="0"/>
            </w:pPr>
            <w:r>
              <w:t>Choose technology/web tools that are appropriate for the level of study and learners.</w:t>
            </w:r>
          </w:p>
        </w:tc>
      </w:tr>
    </w:tbl>
    <w:p w:rsidR="005804C0" w:rsidRDefault="005804C0" w:rsidP="005804C0"/>
    <w:p w:rsidR="00F97084" w:rsidRDefault="005804C0" w:rsidP="005804C0">
      <w:r>
        <w:t xml:space="preserve">Please visit our Faculty Resources Web Site for more information regarding this checklist or other questions you may have.  The link is located off the NTC home page or click on the direct link: </w:t>
      </w:r>
      <w:hyperlink r:id="rId5" w:history="1">
        <w:r w:rsidR="002D5E36" w:rsidRPr="009030D5">
          <w:rPr>
            <w:rStyle w:val="Hyperlink"/>
          </w:rPr>
          <w:t>www.ntcpd.weebly.com</w:t>
        </w:r>
      </w:hyperlink>
      <w:r>
        <w:t>.  Password: faculty</w:t>
      </w:r>
    </w:p>
    <w:p w:rsidR="005804C0" w:rsidRPr="005804C0" w:rsidRDefault="005804C0" w:rsidP="005804C0">
      <w:r>
        <w:t xml:space="preserve"> </w:t>
      </w:r>
    </w:p>
    <w:sectPr w:rsidR="005804C0" w:rsidRPr="005804C0" w:rsidSect="003D6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arwig Factory">
    <w:altName w:val="Segoe UI Semilight"/>
    <w:charset w:val="00"/>
    <w:family w:val="auto"/>
    <w:pitch w:val="variable"/>
    <w:sig w:usb0="00000003"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329AA"/>
    <w:multiLevelType w:val="hybridMultilevel"/>
    <w:tmpl w:val="2C5AF9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B3"/>
    <w:rsid w:val="000A6F97"/>
    <w:rsid w:val="00160B2C"/>
    <w:rsid w:val="00165D8C"/>
    <w:rsid w:val="002437EA"/>
    <w:rsid w:val="00246BE2"/>
    <w:rsid w:val="002D5E36"/>
    <w:rsid w:val="00395DA2"/>
    <w:rsid w:val="003A5341"/>
    <w:rsid w:val="003D6413"/>
    <w:rsid w:val="00435B14"/>
    <w:rsid w:val="004704B3"/>
    <w:rsid w:val="004874A0"/>
    <w:rsid w:val="004B23C6"/>
    <w:rsid w:val="00532FCE"/>
    <w:rsid w:val="005804C0"/>
    <w:rsid w:val="005815D7"/>
    <w:rsid w:val="00652311"/>
    <w:rsid w:val="007F3C98"/>
    <w:rsid w:val="009329D0"/>
    <w:rsid w:val="0093764C"/>
    <w:rsid w:val="00AF06A9"/>
    <w:rsid w:val="00CD2E68"/>
    <w:rsid w:val="00CE0323"/>
    <w:rsid w:val="00CF0B7F"/>
    <w:rsid w:val="00E307ED"/>
    <w:rsid w:val="00E340F4"/>
    <w:rsid w:val="00EA2060"/>
    <w:rsid w:val="00F4728F"/>
    <w:rsid w:val="00F9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BDBFE-83BF-4842-8FB2-6AC04956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
    <w:name w:val="Medium Grid 2"/>
    <w:basedOn w:val="TableNormal"/>
    <w:uiPriority w:val="68"/>
    <w:rsid w:val="004704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List-Accent4">
    <w:name w:val="Colorful List Accent 4"/>
    <w:basedOn w:val="TableNormal"/>
    <w:uiPriority w:val="72"/>
    <w:rsid w:val="000A6F9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ListParagraph">
    <w:name w:val="List Paragraph"/>
    <w:basedOn w:val="Normal"/>
    <w:uiPriority w:val="34"/>
    <w:qFormat/>
    <w:rsid w:val="000A6F97"/>
    <w:pPr>
      <w:ind w:left="720"/>
      <w:contextualSpacing/>
    </w:pPr>
  </w:style>
  <w:style w:type="table" w:styleId="ColorfulList-Accent5">
    <w:name w:val="Colorful List Accent 5"/>
    <w:basedOn w:val="TableNormal"/>
    <w:uiPriority w:val="72"/>
    <w:rsid w:val="00F9708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3">
    <w:name w:val="Colorful List Accent 3"/>
    <w:basedOn w:val="TableNormal"/>
    <w:uiPriority w:val="72"/>
    <w:rsid w:val="00F9708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6">
    <w:name w:val="Colorful List Accent 6"/>
    <w:basedOn w:val="TableNormal"/>
    <w:uiPriority w:val="72"/>
    <w:rsid w:val="00F9708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Hyperlink">
    <w:name w:val="Hyperlink"/>
    <w:basedOn w:val="DefaultParagraphFont"/>
    <w:uiPriority w:val="99"/>
    <w:unhideWhenUsed/>
    <w:rsid w:val="00CD2E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tcpd.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dc:creator>
  <cp:lastModifiedBy>Heidi M. Nichols</cp:lastModifiedBy>
  <cp:revision>7</cp:revision>
  <cp:lastPrinted>2014-01-17T16:56:00Z</cp:lastPrinted>
  <dcterms:created xsi:type="dcterms:W3CDTF">2014-01-17T17:30:00Z</dcterms:created>
  <dcterms:modified xsi:type="dcterms:W3CDTF">2018-08-20T13:28:00Z</dcterms:modified>
</cp:coreProperties>
</file>